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F4C2CB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A611BC">
        <w:t>11</w:t>
      </w:r>
      <w:r w:rsidR="00484281">
        <w:t>1</w:t>
      </w:r>
      <w:r w:rsidRPr="00CE0424">
        <w:tab/>
      </w:r>
      <w:r w:rsidR="00091557" w:rsidRPr="00CE0424">
        <w:rPr>
          <w:sz w:val="32"/>
          <w:szCs w:val="32"/>
        </w:rPr>
        <w:t>R</w:t>
      </w:r>
      <w:r w:rsidR="008F1C4E">
        <w:rPr>
          <w:sz w:val="32"/>
          <w:szCs w:val="32"/>
        </w:rPr>
        <w:t>1</w:t>
      </w:r>
      <w:r w:rsidR="00091557" w:rsidRPr="00CE0424">
        <w:rPr>
          <w:sz w:val="32"/>
          <w:szCs w:val="32"/>
        </w:rPr>
        <w:t>-</w:t>
      </w:r>
      <w:r w:rsidR="00A611BC">
        <w:rPr>
          <w:sz w:val="32"/>
          <w:szCs w:val="32"/>
        </w:rPr>
        <w:t>22</w:t>
      </w:r>
      <w:r w:rsidR="00FB6FDF" w:rsidRPr="00D35668">
        <w:rPr>
          <w:sz w:val="32"/>
          <w:szCs w:val="32"/>
        </w:rPr>
        <w:t>12343</w:t>
      </w:r>
    </w:p>
    <w:p w14:paraId="0CE7B7E6" w14:textId="791491EF" w:rsidR="00E90E49" w:rsidRPr="00CE0424" w:rsidRDefault="00484281" w:rsidP="00311702">
      <w:pPr>
        <w:pStyle w:val="3GPPHeader"/>
      </w:pPr>
      <w:r w:rsidRPr="00484281">
        <w:t>Toulouse, France, November 14</w:t>
      </w:r>
      <w:r w:rsidRPr="00484281">
        <w:rPr>
          <w:vertAlign w:val="superscript"/>
        </w:rPr>
        <w:t>th</w:t>
      </w:r>
      <w:r w:rsidRPr="00484281">
        <w:t xml:space="preserve"> – 18</w:t>
      </w:r>
      <w:r w:rsidRPr="00484281">
        <w:rPr>
          <w:vertAlign w:val="superscript"/>
        </w:rPr>
        <w:t>th</w:t>
      </w:r>
      <w:r w:rsidRPr="00484281">
        <w:t xml:space="preserve"> </w:t>
      </w:r>
      <w:r w:rsidR="0027144F" w:rsidRPr="00484281">
        <w:t>20</w:t>
      </w:r>
      <w:r w:rsidR="00A611BC" w:rsidRPr="00484281">
        <w:t>22</w:t>
      </w:r>
    </w:p>
    <w:p w14:paraId="3086AC07" w14:textId="77777777" w:rsidR="00E90E49" w:rsidRPr="00CE0424" w:rsidRDefault="00E90E49" w:rsidP="00357380">
      <w:pPr>
        <w:pStyle w:val="3GPPHeader"/>
      </w:pPr>
    </w:p>
    <w:p w14:paraId="3982483C" w14:textId="7B6D0C3E" w:rsidR="00E90E49" w:rsidRPr="006737F2" w:rsidRDefault="00E90E49" w:rsidP="00311702">
      <w:pPr>
        <w:pStyle w:val="3GPPHeader"/>
        <w:rPr>
          <w:sz w:val="22"/>
        </w:rPr>
      </w:pPr>
      <w:r w:rsidRPr="006737F2">
        <w:rPr>
          <w:sz w:val="22"/>
        </w:rPr>
        <w:t>Agenda Item:</w:t>
      </w:r>
      <w:r w:rsidRPr="006737F2">
        <w:rPr>
          <w:sz w:val="22"/>
        </w:rPr>
        <w:tab/>
      </w:r>
      <w:r w:rsidR="00386E5F" w:rsidRPr="006737F2">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0DB719" w:rsidR="00E90E49" w:rsidRPr="00CE0424" w:rsidRDefault="003D3C45" w:rsidP="00311702">
      <w:pPr>
        <w:pStyle w:val="3GPPHeader"/>
        <w:rPr>
          <w:sz w:val="22"/>
        </w:rPr>
      </w:pPr>
      <w:r>
        <w:rPr>
          <w:sz w:val="22"/>
        </w:rPr>
        <w:t>Title:</w:t>
      </w:r>
      <w:r w:rsidR="00E90E49" w:rsidRPr="00CE0424">
        <w:rPr>
          <w:sz w:val="22"/>
        </w:rPr>
        <w:tab/>
      </w:r>
      <w:r w:rsidR="000543C0">
        <w:rPr>
          <w:sz w:val="22"/>
        </w:rPr>
        <w:t>Discussion on RAN4 LS on NCR-MT transmission and beam correspondence</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A23BD8">
        <w:rPr>
          <w:sz w:val="22"/>
        </w:rPr>
        <w:t>Discussion, Decision</w:t>
      </w:r>
    </w:p>
    <w:p w14:paraId="2D5672ED" w14:textId="77777777" w:rsidR="00E90E49" w:rsidRPr="00CE0424" w:rsidRDefault="00E90E49" w:rsidP="00E90E49"/>
    <w:p w14:paraId="6883CB62" w14:textId="33436E6E" w:rsidR="00E90E49" w:rsidRPr="00CE0424" w:rsidRDefault="00E90E49" w:rsidP="00AC22FB">
      <w:pPr>
        <w:pStyle w:val="Heading1"/>
      </w:pPr>
      <w:r w:rsidRPr="00CE0424">
        <w:t>Introduction</w:t>
      </w:r>
    </w:p>
    <w:p w14:paraId="231E64EA" w14:textId="79EF6AEC" w:rsidR="00477768" w:rsidRDefault="00441CD3" w:rsidP="00CE0424">
      <w:pPr>
        <w:pStyle w:val="BodyText"/>
      </w:pPr>
      <w:r>
        <w:t>RAN4 sent an LS to RAN1 asking the following questions</w:t>
      </w:r>
      <w:r w:rsidR="00A14CDD">
        <w:t xml:space="preserve"> </w:t>
      </w:r>
      <w:r w:rsidR="00A14CDD">
        <w:fldChar w:fldCharType="begin"/>
      </w:r>
      <w:r w:rsidR="00A14CDD">
        <w:instrText xml:space="preserve"> REF _Ref118119285 \w \h </w:instrText>
      </w:r>
      <w:r w:rsidR="00AE14D4">
        <w:instrText xml:space="preserve"> \* MERGEFORMAT </w:instrText>
      </w:r>
      <w:r w:rsidR="00A14CDD">
        <w:fldChar w:fldCharType="separate"/>
      </w:r>
      <w:r w:rsidR="00D835F4">
        <w:t>[1]</w:t>
      </w:r>
      <w:r w:rsidR="00A14CDD">
        <w:fldChar w:fldCharType="end"/>
      </w:r>
      <w:r>
        <w:t>:</w:t>
      </w:r>
    </w:p>
    <w:p w14:paraId="207C934F" w14:textId="77777777" w:rsidR="00441CD3" w:rsidRDefault="00441CD3" w:rsidP="00AE14D4">
      <w:pPr>
        <w:jc w:val="both"/>
        <w:rPr>
          <w:color w:val="0070C0"/>
          <w:lang w:eastAsia="zh-CN"/>
        </w:rPr>
      </w:pPr>
      <w:r>
        <w:rPr>
          <w:b/>
          <w:bCs/>
          <w:color w:val="0070C0"/>
          <w:lang w:eastAsia="zh-CN"/>
        </w:rPr>
        <w:t xml:space="preserve">Question </w:t>
      </w:r>
      <w:r>
        <w:rPr>
          <w:rFonts w:hint="eastAsia"/>
          <w:b/>
          <w:bCs/>
          <w:color w:val="0070C0"/>
          <w:lang w:eastAsia="zh-CN"/>
        </w:rPr>
        <w:t>1</w:t>
      </w:r>
      <w:r>
        <w:rPr>
          <w:color w:val="0070C0"/>
          <w:lang w:eastAsia="zh-CN"/>
        </w:rPr>
        <w:t xml:space="preserve">: whether NCR-MT part support any UL transmission? if there is any UL transmission, please show some information of UL transmission, </w:t>
      </w:r>
      <w:proofErr w:type="gramStart"/>
      <w:r>
        <w:rPr>
          <w:color w:val="0070C0"/>
          <w:lang w:eastAsia="zh-CN"/>
        </w:rPr>
        <w:t>e.g.</w:t>
      </w:r>
      <w:proofErr w:type="gramEnd"/>
      <w:r>
        <w:rPr>
          <w:color w:val="0070C0"/>
          <w:lang w:eastAsia="zh-CN"/>
        </w:rPr>
        <w:t xml:space="preserve"> is it PUCCH, PUSCH or SRS or some feedback for the PDSCH or control information?</w:t>
      </w:r>
    </w:p>
    <w:p w14:paraId="33967AD5" w14:textId="35CE1877" w:rsidR="00441CD3" w:rsidRPr="00441CD3" w:rsidRDefault="00441CD3" w:rsidP="00AE14D4">
      <w:pPr>
        <w:jc w:val="both"/>
        <w:rPr>
          <w:color w:val="0070C0"/>
          <w:lang w:eastAsia="zh-CN"/>
        </w:rPr>
      </w:pPr>
      <w:r>
        <w:rPr>
          <w:rFonts w:hint="eastAsia"/>
          <w:b/>
          <w:bCs/>
          <w:color w:val="0070C0"/>
          <w:lang w:eastAsia="zh-CN"/>
        </w:rPr>
        <w:t>Q</w:t>
      </w:r>
      <w:r>
        <w:rPr>
          <w:b/>
          <w:bCs/>
          <w:color w:val="0070C0"/>
          <w:lang w:eastAsia="zh-CN"/>
        </w:rPr>
        <w:t xml:space="preserve">uestion </w:t>
      </w:r>
      <w:r>
        <w:rPr>
          <w:rFonts w:hint="eastAsia"/>
          <w:b/>
          <w:bCs/>
          <w:color w:val="0070C0"/>
          <w:lang w:eastAsia="zh-CN"/>
        </w:rPr>
        <w:t>2</w:t>
      </w:r>
      <w:r>
        <w:rPr>
          <w:b/>
          <w:bCs/>
          <w:color w:val="0070C0"/>
          <w:lang w:eastAsia="zh-CN"/>
        </w:rPr>
        <w:t>:</w:t>
      </w:r>
      <w:r>
        <w:rPr>
          <w:rFonts w:hint="eastAsia"/>
          <w:color w:val="0070C0"/>
          <w:lang w:eastAsia="zh-CN"/>
        </w:rPr>
        <w:t xml:space="preserve">  RAN4 would like to check with RAN1</w:t>
      </w:r>
      <w:r>
        <w:rPr>
          <w:color w:val="0070C0"/>
          <w:lang w:eastAsia="zh-CN"/>
        </w:rPr>
        <w:t xml:space="preserve"> </w:t>
      </w:r>
      <w:r w:rsidRPr="00EB581D">
        <w:rPr>
          <w:color w:val="0070C0"/>
          <w:lang w:eastAsia="zh-CN"/>
        </w:rPr>
        <w:t>whether</w:t>
      </w:r>
      <w:r w:rsidRPr="00EB581D">
        <w:rPr>
          <w:rFonts w:hint="eastAsia"/>
          <w:color w:val="0070C0"/>
          <w:lang w:eastAsia="zh-CN"/>
        </w:rPr>
        <w:t xml:space="preserve"> there</w:t>
      </w:r>
      <w:r w:rsidRPr="00EB581D">
        <w:rPr>
          <w:color w:val="0070C0"/>
          <w:lang w:eastAsia="zh-CN"/>
        </w:rPr>
        <w:t xml:space="preserve"> is any concern to support the F</w:t>
      </w:r>
      <w:r>
        <w:rPr>
          <w:color w:val="0070C0"/>
          <w:lang w:eastAsia="zh-CN"/>
        </w:rPr>
        <w:t xml:space="preserve">R1 </w:t>
      </w:r>
      <w:r>
        <w:rPr>
          <w:rFonts w:hint="eastAsia"/>
          <w:color w:val="0070C0"/>
          <w:lang w:eastAsia="zh-CN"/>
        </w:rPr>
        <w:t xml:space="preserve">NCR </w:t>
      </w:r>
      <w:r>
        <w:rPr>
          <w:color w:val="0070C0"/>
          <w:lang w:eastAsia="zh-CN"/>
        </w:rPr>
        <w:t xml:space="preserve">beamforming? </w:t>
      </w:r>
    </w:p>
    <w:p w14:paraId="60123794" w14:textId="42E525BA" w:rsidR="004000E8" w:rsidRDefault="004000E8" w:rsidP="00CE0424">
      <w:pPr>
        <w:pStyle w:val="Heading1"/>
      </w:pPr>
      <w:bookmarkStart w:id="0" w:name="_Ref178064866"/>
      <w:r w:rsidRPr="00CE0424">
        <w:t>Discussion</w:t>
      </w:r>
      <w:bookmarkEnd w:id="0"/>
    </w:p>
    <w:p w14:paraId="6BE53605" w14:textId="692D1AE5" w:rsidR="00824E11" w:rsidRDefault="00824E11" w:rsidP="00282232">
      <w:pPr>
        <w:jc w:val="both"/>
        <w:rPr>
          <w:lang w:eastAsia="ja-JP"/>
        </w:rPr>
      </w:pPr>
      <w:r w:rsidRPr="00824E11">
        <w:rPr>
          <w:lang w:eastAsia="ja-JP"/>
        </w:rPr>
        <w:t xml:space="preserve">In RAN1#110-bis-e, following agreements were made regarding </w:t>
      </w:r>
      <w:r>
        <w:rPr>
          <w:lang w:eastAsia="ja-JP"/>
        </w:rPr>
        <w:t>Q</w:t>
      </w:r>
      <w:r w:rsidRPr="00824E11">
        <w:rPr>
          <w:lang w:eastAsia="ja-JP"/>
        </w:rPr>
        <w:t>ues</w:t>
      </w:r>
      <w:r>
        <w:rPr>
          <w:lang w:eastAsia="ja-JP"/>
        </w:rPr>
        <w:t xml:space="preserve">tion 1 </w:t>
      </w:r>
      <w:r w:rsidR="000163C3">
        <w:rPr>
          <w:lang w:eastAsia="ja-JP"/>
        </w:rPr>
        <w:fldChar w:fldCharType="begin"/>
      </w:r>
      <w:r w:rsidR="000163C3">
        <w:rPr>
          <w:lang w:eastAsia="ja-JP"/>
        </w:rPr>
        <w:instrText xml:space="preserve"> REF _Ref114583706 \w \h </w:instrText>
      </w:r>
      <w:r w:rsidR="000163C3">
        <w:rPr>
          <w:lang w:eastAsia="ja-JP"/>
        </w:rPr>
      </w:r>
      <w:r w:rsidR="000163C3">
        <w:rPr>
          <w:lang w:eastAsia="ja-JP"/>
        </w:rPr>
        <w:fldChar w:fldCharType="separate"/>
      </w:r>
      <w:r w:rsidR="00D835F4">
        <w:rPr>
          <w:lang w:eastAsia="ja-JP"/>
        </w:rPr>
        <w:t>[2]</w:t>
      </w:r>
      <w:r w:rsidR="000163C3">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824E11" w14:paraId="2235A656" w14:textId="77777777" w:rsidTr="00824E11">
        <w:tc>
          <w:tcPr>
            <w:tcW w:w="9629" w:type="dxa"/>
          </w:tcPr>
          <w:p w14:paraId="443F4397" w14:textId="15641434" w:rsidR="00824E11" w:rsidRPr="00824E11" w:rsidRDefault="00824E11" w:rsidP="00824E11">
            <w:pPr>
              <w:rPr>
                <w:rFonts w:ascii="Times New Roman" w:hAnsi="Times New Roman" w:cs="Times New Roman"/>
                <w:iCs/>
                <w:sz w:val="20"/>
                <w:szCs w:val="20"/>
              </w:rPr>
            </w:pPr>
            <w:r w:rsidRPr="00824E11">
              <w:rPr>
                <w:rFonts w:ascii="Times New Roman" w:hAnsi="Times New Roman" w:cs="Times New Roman"/>
                <w:b/>
                <w:bCs/>
                <w:iCs/>
                <w:sz w:val="20"/>
                <w:szCs w:val="20"/>
                <w:highlight w:val="green"/>
              </w:rPr>
              <w:t>Agreement</w:t>
            </w:r>
            <w:r>
              <w:rPr>
                <w:rFonts w:ascii="Times New Roman" w:hAnsi="Times New Roman" w:cs="Times New Roman"/>
                <w:b/>
                <w:bCs/>
                <w:iCs/>
                <w:sz w:val="20"/>
                <w:szCs w:val="20"/>
              </w:rPr>
              <w:br/>
            </w:r>
            <w:r w:rsidRPr="00824E11">
              <w:rPr>
                <w:rFonts w:ascii="Times New Roman" w:hAnsi="Times New Roman" w:cs="Times New Roman"/>
                <w:iCs/>
                <w:sz w:val="20"/>
                <w:szCs w:val="20"/>
              </w:rPr>
              <w:t xml:space="preserve">HARQ-ACK feedback for PDSCH carrying the side control information from higher layer </w:t>
            </w:r>
            <w:r w:rsidRPr="00824E11">
              <w:rPr>
                <w:rFonts w:ascii="Times New Roman" w:hAnsi="Times New Roman" w:cs="Times New Roman"/>
                <w:iCs/>
                <w:sz w:val="20"/>
                <w:szCs w:val="20"/>
                <w:lang w:val="en-GB"/>
              </w:rPr>
              <w:t xml:space="preserve">(e.g., MAC-CE, RRC) </w:t>
            </w:r>
            <w:r w:rsidRPr="00824E11">
              <w:rPr>
                <w:rFonts w:ascii="Times New Roman" w:hAnsi="Times New Roman" w:cs="Times New Roman"/>
                <w:iCs/>
                <w:sz w:val="20"/>
                <w:szCs w:val="20"/>
              </w:rPr>
              <w:t>is supported. The legacy HARQ-ACK feedback mechanism is reused.</w:t>
            </w:r>
          </w:p>
          <w:p w14:paraId="4A10C089" w14:textId="77777777" w:rsidR="00824E11" w:rsidRPr="00824E11" w:rsidRDefault="00824E11" w:rsidP="00824E11">
            <w:pPr>
              <w:numPr>
                <w:ilvl w:val="0"/>
                <w:numId w:val="29"/>
              </w:numPr>
              <w:spacing w:after="0" w:line="240" w:lineRule="auto"/>
              <w:jc w:val="both"/>
              <w:rPr>
                <w:rFonts w:ascii="Times New Roman" w:hAnsi="Times New Roman" w:cs="Times New Roman"/>
                <w:iCs/>
                <w:sz w:val="20"/>
                <w:szCs w:val="20"/>
              </w:rPr>
            </w:pPr>
            <w:r w:rsidRPr="00824E11">
              <w:rPr>
                <w:rFonts w:ascii="Times New Roman" w:hAnsi="Times New Roman" w:cs="Times New Roman"/>
                <w:iCs/>
                <w:sz w:val="20"/>
                <w:szCs w:val="20"/>
              </w:rPr>
              <w:t>FFS: Whether HARQ-ACK feedback for PDCCH carrying side control information is supported</w:t>
            </w:r>
          </w:p>
          <w:p w14:paraId="7FB728F3" w14:textId="77777777" w:rsidR="00824E11" w:rsidRPr="00824E11" w:rsidRDefault="00824E11" w:rsidP="00824E11">
            <w:pPr>
              <w:numPr>
                <w:ilvl w:val="0"/>
                <w:numId w:val="29"/>
              </w:numPr>
              <w:spacing w:after="0" w:line="240" w:lineRule="auto"/>
              <w:jc w:val="both"/>
              <w:rPr>
                <w:rFonts w:ascii="Times New Roman" w:hAnsi="Times New Roman" w:cs="Times New Roman"/>
                <w:iCs/>
                <w:sz w:val="20"/>
                <w:szCs w:val="20"/>
              </w:rPr>
            </w:pPr>
            <w:r w:rsidRPr="00824E11">
              <w:rPr>
                <w:rFonts w:ascii="Times New Roman" w:hAnsi="Times New Roman" w:cs="Times New Roman"/>
                <w:iCs/>
                <w:sz w:val="20"/>
                <w:szCs w:val="20"/>
              </w:rPr>
              <w:t>Note: This does not mean all legacy HARQ-ACK feedback mechanism will be supported.</w:t>
            </w:r>
          </w:p>
          <w:p w14:paraId="30AAE2AC" w14:textId="77777777" w:rsidR="00824E11" w:rsidRPr="00824E11" w:rsidRDefault="00824E11" w:rsidP="00824E11">
            <w:pPr>
              <w:pStyle w:val="PlainText"/>
              <w:rPr>
                <w:rFonts w:ascii="Times New Roman" w:hAnsi="Times New Roman" w:cs="Times New Roman"/>
                <w:iCs/>
                <w:sz w:val="20"/>
                <w:szCs w:val="20"/>
              </w:rPr>
            </w:pPr>
          </w:p>
          <w:p w14:paraId="2DCD7785" w14:textId="59FAE3CC" w:rsidR="00824E11" w:rsidRPr="00824E11" w:rsidRDefault="00824E11" w:rsidP="00824E11">
            <w:pPr>
              <w:rPr>
                <w:rFonts w:ascii="Times New Roman" w:hAnsi="Times New Roman" w:cs="Times New Roman"/>
                <w:b/>
                <w:bCs/>
                <w:iCs/>
                <w:sz w:val="20"/>
                <w:szCs w:val="20"/>
                <w:lang w:val="en-GB"/>
              </w:rPr>
            </w:pPr>
            <w:r w:rsidRPr="00824E11">
              <w:rPr>
                <w:rFonts w:ascii="Times New Roman" w:hAnsi="Times New Roman" w:cs="Times New Roman"/>
                <w:b/>
                <w:bCs/>
                <w:iCs/>
                <w:sz w:val="20"/>
                <w:szCs w:val="20"/>
                <w:highlight w:val="green"/>
              </w:rPr>
              <w:t>Agreement</w:t>
            </w:r>
            <w:r>
              <w:rPr>
                <w:rFonts w:ascii="Times New Roman" w:hAnsi="Times New Roman" w:cs="Times New Roman"/>
                <w:b/>
                <w:bCs/>
                <w:iCs/>
                <w:sz w:val="20"/>
                <w:szCs w:val="20"/>
              </w:rPr>
              <w:br/>
            </w:r>
            <w:r w:rsidRPr="00824E11">
              <w:rPr>
                <w:rFonts w:ascii="Times New Roman" w:hAnsi="Times New Roman" w:cs="Times New Roman"/>
                <w:iCs/>
                <w:sz w:val="20"/>
                <w:szCs w:val="20"/>
                <w:lang w:val="en-GB"/>
              </w:rPr>
              <w:t>PUCCH and PUSCH are supported for NCR-MT.</w:t>
            </w:r>
          </w:p>
          <w:p w14:paraId="2DA123FE" w14:textId="1EF30861" w:rsidR="00824E11" w:rsidRPr="00824E11" w:rsidRDefault="00824E11" w:rsidP="00824E11">
            <w:pPr>
              <w:rPr>
                <w:rFonts w:ascii="Times New Roman" w:hAnsi="Times New Roman" w:cs="Times New Roman"/>
                <w:b/>
                <w:bCs/>
                <w:iCs/>
                <w:sz w:val="20"/>
                <w:szCs w:val="20"/>
                <w:highlight w:val="green"/>
              </w:rPr>
            </w:pPr>
            <w:r w:rsidRPr="00824E11">
              <w:rPr>
                <w:rFonts w:ascii="Times New Roman" w:hAnsi="Times New Roman" w:cs="Times New Roman"/>
                <w:b/>
                <w:bCs/>
                <w:iCs/>
                <w:sz w:val="20"/>
                <w:szCs w:val="20"/>
                <w:highlight w:val="green"/>
              </w:rPr>
              <w:t>Agreement</w:t>
            </w:r>
            <w:r>
              <w:rPr>
                <w:rFonts w:ascii="Times New Roman" w:hAnsi="Times New Roman" w:cs="Times New Roman"/>
                <w:b/>
                <w:bCs/>
                <w:iCs/>
                <w:sz w:val="20"/>
                <w:szCs w:val="20"/>
              </w:rPr>
              <w:br/>
            </w:r>
            <w:r w:rsidRPr="00824E11">
              <w:rPr>
                <w:rFonts w:ascii="Times New Roman" w:hAnsi="Times New Roman" w:cs="Times New Roman"/>
                <w:bCs/>
                <w:iCs/>
                <w:sz w:val="20"/>
                <w:szCs w:val="20"/>
              </w:rPr>
              <w:t>To support the sounding procedure for NCR-MT in C link, the necessary mechanism of legacy UE sounding procedure is supported.</w:t>
            </w:r>
          </w:p>
          <w:p w14:paraId="19EE8A30" w14:textId="77777777" w:rsidR="00824E11" w:rsidRPr="00824E11" w:rsidRDefault="00824E11" w:rsidP="00824E11">
            <w:pPr>
              <w:numPr>
                <w:ilvl w:val="0"/>
                <w:numId w:val="26"/>
              </w:numPr>
              <w:spacing w:after="0" w:line="240" w:lineRule="auto"/>
              <w:contextualSpacing/>
              <w:rPr>
                <w:rFonts w:ascii="Times New Roman" w:hAnsi="Times New Roman" w:cs="Times New Roman"/>
                <w:bCs/>
                <w:iCs/>
                <w:sz w:val="20"/>
                <w:szCs w:val="20"/>
              </w:rPr>
            </w:pPr>
            <w:r w:rsidRPr="00824E11">
              <w:rPr>
                <w:rFonts w:ascii="Times New Roman" w:hAnsi="Times New Roman" w:cs="Times New Roman"/>
                <w:bCs/>
                <w:iCs/>
                <w:sz w:val="20"/>
                <w:szCs w:val="20"/>
              </w:rPr>
              <w:t>FFS: The details of the necessary mechanism of legacy UE sounding procedure.</w:t>
            </w:r>
          </w:p>
          <w:p w14:paraId="6F380EC7" w14:textId="0901F8D5" w:rsidR="00824E11" w:rsidRPr="00824E11" w:rsidRDefault="00824E11" w:rsidP="00824E11">
            <w:pPr>
              <w:numPr>
                <w:ilvl w:val="0"/>
                <w:numId w:val="26"/>
              </w:numPr>
              <w:spacing w:after="0" w:line="240" w:lineRule="auto"/>
              <w:contextualSpacing/>
              <w:rPr>
                <w:rFonts w:ascii="Times New Roman" w:hAnsi="Times New Roman" w:cs="Times New Roman"/>
                <w:bCs/>
                <w:iCs/>
                <w:sz w:val="20"/>
                <w:szCs w:val="20"/>
              </w:rPr>
            </w:pPr>
            <w:r w:rsidRPr="00824E11">
              <w:rPr>
                <w:rFonts w:ascii="Times New Roman" w:hAnsi="Times New Roman" w:cs="Times New Roman"/>
                <w:bCs/>
                <w:iCs/>
                <w:sz w:val="20"/>
                <w:szCs w:val="20"/>
              </w:rPr>
              <w:t>Note: This does not mean all legacy UE sounding procedure will be supported.</w:t>
            </w:r>
          </w:p>
          <w:p w14:paraId="6EEA0102" w14:textId="77777777" w:rsidR="00824E11" w:rsidRDefault="00824E11" w:rsidP="00824E11">
            <w:pPr>
              <w:rPr>
                <w:lang w:eastAsia="ja-JP"/>
              </w:rPr>
            </w:pPr>
          </w:p>
        </w:tc>
      </w:tr>
    </w:tbl>
    <w:p w14:paraId="6C2CD8DE" w14:textId="6C803F47" w:rsidR="00824E11" w:rsidRDefault="00EC51BB" w:rsidP="00307825">
      <w:pPr>
        <w:spacing w:before="240"/>
        <w:jc w:val="both"/>
        <w:rPr>
          <w:lang w:eastAsia="ja-JP"/>
        </w:rPr>
      </w:pPr>
      <w:r>
        <w:rPr>
          <w:lang w:eastAsia="ja-JP"/>
        </w:rPr>
        <w:t>With respect to the first question, i</w:t>
      </w:r>
      <w:r w:rsidR="00824E11">
        <w:rPr>
          <w:lang w:eastAsia="ja-JP"/>
        </w:rPr>
        <w:t xml:space="preserve">t can be concluded that </w:t>
      </w:r>
      <w:r w:rsidR="00824E11" w:rsidRPr="00824E11">
        <w:rPr>
          <w:lang w:eastAsia="ja-JP"/>
        </w:rPr>
        <w:t>UL transmission</w:t>
      </w:r>
      <w:r w:rsidR="00824E11">
        <w:rPr>
          <w:lang w:eastAsia="ja-JP"/>
        </w:rPr>
        <w:t xml:space="preserve"> are generally supported. In particular, at least </w:t>
      </w:r>
      <w:r w:rsidR="00824E11" w:rsidRPr="00824E11">
        <w:rPr>
          <w:lang w:eastAsia="ja-JP"/>
        </w:rPr>
        <w:t xml:space="preserve">PUCCH, PUSCH or SRS </w:t>
      </w:r>
      <w:r w:rsidR="00824E11">
        <w:rPr>
          <w:lang w:eastAsia="ja-JP"/>
        </w:rPr>
        <w:t>and</w:t>
      </w:r>
      <w:r w:rsidR="00824E11" w:rsidRPr="00824E11">
        <w:rPr>
          <w:lang w:eastAsia="ja-JP"/>
        </w:rPr>
        <w:t xml:space="preserve"> </w:t>
      </w:r>
      <w:r w:rsidR="00824E11">
        <w:rPr>
          <w:lang w:eastAsia="ja-JP"/>
        </w:rPr>
        <w:t xml:space="preserve">HARQ-ACK </w:t>
      </w:r>
      <w:r w:rsidR="00824E11" w:rsidRPr="00824E11">
        <w:rPr>
          <w:lang w:eastAsia="ja-JP"/>
        </w:rPr>
        <w:t>feedback</w:t>
      </w:r>
      <w:r>
        <w:rPr>
          <w:lang w:eastAsia="ja-JP"/>
        </w:rPr>
        <w:t xml:space="preserve"> transmissions</w:t>
      </w:r>
      <w:r w:rsidR="00824E11" w:rsidRPr="00824E11">
        <w:rPr>
          <w:lang w:eastAsia="ja-JP"/>
        </w:rPr>
        <w:t xml:space="preserve"> for PDSCH</w:t>
      </w:r>
      <w:r>
        <w:rPr>
          <w:lang w:eastAsia="ja-JP"/>
        </w:rPr>
        <w:t xml:space="preserve"> are supported.</w:t>
      </w:r>
    </w:p>
    <w:p w14:paraId="0F086DAC" w14:textId="6EB9A4AD" w:rsidR="00386E5F" w:rsidRDefault="00386E5F" w:rsidP="00386E5F">
      <w:pPr>
        <w:pStyle w:val="Proposal"/>
      </w:pPr>
      <w:bookmarkStart w:id="1" w:name="_Toc118728583"/>
      <w:r>
        <w:lastRenderedPageBreak/>
        <w:t xml:space="preserve">Reply to RAN4 that </w:t>
      </w:r>
      <w:r w:rsidRPr="00824E11">
        <w:t>UL transmission</w:t>
      </w:r>
      <w:r>
        <w:t xml:space="preserve"> is generally supported. In particular, at least </w:t>
      </w:r>
      <w:r w:rsidRPr="00824E11">
        <w:t>PUCCH, PUSCH</w:t>
      </w:r>
      <w:r w:rsidR="00BD5616">
        <w:t>,</w:t>
      </w:r>
      <w:r w:rsidRPr="00824E11">
        <w:t xml:space="preserve"> SRS </w:t>
      </w:r>
      <w:r>
        <w:t>and</w:t>
      </w:r>
      <w:r w:rsidRPr="00824E11">
        <w:t xml:space="preserve"> </w:t>
      </w:r>
      <w:r>
        <w:t xml:space="preserve">HARQ-ACK </w:t>
      </w:r>
      <w:r w:rsidRPr="00824E11">
        <w:t>feedback</w:t>
      </w:r>
      <w:r>
        <w:t xml:space="preserve"> transmissions</w:t>
      </w:r>
      <w:r w:rsidRPr="00824E11">
        <w:t xml:space="preserve"> for PDSCH</w:t>
      </w:r>
      <w:r>
        <w:t xml:space="preserve"> are supported.</w:t>
      </w:r>
      <w:bookmarkEnd w:id="1"/>
    </w:p>
    <w:p w14:paraId="37987C99" w14:textId="448112CF" w:rsidR="00EC51BB" w:rsidRDefault="00F209D2" w:rsidP="00824E11">
      <w:pPr>
        <w:rPr>
          <w:lang w:eastAsia="ja-JP"/>
        </w:rPr>
      </w:pPr>
      <w:r>
        <w:rPr>
          <w:lang w:eastAsia="ja-JP"/>
        </w:rPr>
        <w:t>Regarding the second question, the WID</w:t>
      </w:r>
      <w:r w:rsidR="000163C3">
        <w:rPr>
          <w:lang w:eastAsia="ja-JP"/>
        </w:rPr>
        <w:t xml:space="preserve"> </w:t>
      </w:r>
      <w:r w:rsidR="000163C3">
        <w:rPr>
          <w:lang w:eastAsia="ja-JP"/>
        </w:rPr>
        <w:fldChar w:fldCharType="begin"/>
      </w:r>
      <w:r w:rsidR="000163C3">
        <w:rPr>
          <w:lang w:eastAsia="ja-JP"/>
        </w:rPr>
        <w:instrText xml:space="preserve"> REF _Ref114583479 \w \h </w:instrText>
      </w:r>
      <w:r w:rsidR="000163C3">
        <w:rPr>
          <w:lang w:eastAsia="ja-JP"/>
        </w:rPr>
      </w:r>
      <w:r w:rsidR="000163C3">
        <w:rPr>
          <w:lang w:eastAsia="ja-JP"/>
        </w:rPr>
        <w:fldChar w:fldCharType="separate"/>
      </w:r>
      <w:r w:rsidR="00D835F4">
        <w:rPr>
          <w:lang w:eastAsia="ja-JP"/>
        </w:rPr>
        <w:t>[3]</w:t>
      </w:r>
      <w:r w:rsidR="000163C3">
        <w:rPr>
          <w:lang w:eastAsia="ja-JP"/>
        </w:rPr>
        <w:fldChar w:fldCharType="end"/>
      </w:r>
      <w:r w:rsidR="000163C3">
        <w:rPr>
          <w:lang w:eastAsia="ja-JP"/>
        </w:rPr>
        <w:t xml:space="preserve"> </w:t>
      </w:r>
      <w:r>
        <w:rPr>
          <w:lang w:eastAsia="ja-JP"/>
        </w:rPr>
        <w:t>states</w:t>
      </w:r>
    </w:p>
    <w:tbl>
      <w:tblPr>
        <w:tblStyle w:val="TableGrid"/>
        <w:tblW w:w="0" w:type="auto"/>
        <w:tblLook w:val="04A0" w:firstRow="1" w:lastRow="0" w:firstColumn="1" w:lastColumn="0" w:noHBand="0" w:noVBand="1"/>
      </w:tblPr>
      <w:tblGrid>
        <w:gridCol w:w="9629"/>
      </w:tblGrid>
      <w:tr w:rsidR="00F209D2" w14:paraId="637C88CB" w14:textId="77777777" w:rsidTr="00F209D2">
        <w:tc>
          <w:tcPr>
            <w:tcW w:w="9629" w:type="dxa"/>
          </w:tcPr>
          <w:p w14:paraId="3B98D286" w14:textId="77777777" w:rsidR="00F209D2" w:rsidRPr="00F209D2" w:rsidRDefault="00F209D2" w:rsidP="00F209D2">
            <w:pPr>
              <w:spacing w:beforeLines="50" w:before="120" w:afterLines="50" w:after="120"/>
              <w:rPr>
                <w:rFonts w:ascii="Times New Roman" w:hAnsi="Times New Roman" w:cs="Times New Roman"/>
                <w:bCs/>
                <w:sz w:val="20"/>
                <w:szCs w:val="20"/>
              </w:rPr>
            </w:pPr>
            <w:r w:rsidRPr="00F209D2">
              <w:rPr>
                <w:rFonts w:ascii="Times New Roman" w:hAnsi="Times New Roman" w:cs="Times New Roman"/>
                <w:bCs/>
                <w:sz w:val="20"/>
                <w:szCs w:val="20"/>
              </w:rPr>
              <w:t>The objectives of NR NCR WI follow the recommendations defined in TR 38.867 and will focus on scenarios and assumption listed below:</w:t>
            </w:r>
          </w:p>
          <w:p w14:paraId="70D14567" w14:textId="77777777" w:rsidR="00F209D2" w:rsidRPr="00F209D2" w:rsidRDefault="00F209D2" w:rsidP="00F209D2">
            <w:pPr>
              <w:numPr>
                <w:ilvl w:val="0"/>
                <w:numId w:val="27"/>
              </w:numPr>
              <w:overflowPunct w:val="0"/>
              <w:autoSpaceDE w:val="0"/>
              <w:autoSpaceDN w:val="0"/>
              <w:adjustRightInd w:val="0"/>
              <w:spacing w:beforeLines="50" w:before="120" w:afterLines="50" w:after="120" w:line="240" w:lineRule="auto"/>
              <w:textAlignment w:val="baseline"/>
              <w:rPr>
                <w:rFonts w:ascii="Times New Roman" w:hAnsi="Times New Roman" w:cs="Times New Roman"/>
                <w:sz w:val="20"/>
                <w:szCs w:val="20"/>
              </w:rPr>
            </w:pPr>
            <w:r w:rsidRPr="00F209D2">
              <w:rPr>
                <w:rFonts w:ascii="Times New Roman" w:hAnsi="Times New Roman" w:cs="Times New Roman"/>
                <w:sz w:val="20"/>
                <w:szCs w:val="20"/>
              </w:rPr>
              <w:t>Network-controlled repeaters are inband RF repeaters used for extension of network coverage on FR1 and FR2 bands based on the NCR model in TR38.867</w:t>
            </w:r>
          </w:p>
          <w:p w14:paraId="276081BF" w14:textId="77777777" w:rsidR="00F209D2" w:rsidRPr="00F209D2" w:rsidRDefault="00F209D2" w:rsidP="00F209D2">
            <w:pPr>
              <w:numPr>
                <w:ilvl w:val="0"/>
                <w:numId w:val="27"/>
              </w:numPr>
              <w:overflowPunct w:val="0"/>
              <w:autoSpaceDE w:val="0"/>
              <w:autoSpaceDN w:val="0"/>
              <w:adjustRightInd w:val="0"/>
              <w:spacing w:beforeLines="50" w:before="120" w:afterLines="50" w:after="120" w:line="240" w:lineRule="auto"/>
              <w:textAlignment w:val="baseline"/>
              <w:rPr>
                <w:rFonts w:ascii="Times New Roman" w:hAnsi="Times New Roman" w:cs="Times New Roman"/>
                <w:sz w:val="20"/>
                <w:szCs w:val="20"/>
              </w:rPr>
            </w:pPr>
            <w:r w:rsidRPr="00F209D2">
              <w:rPr>
                <w:rFonts w:ascii="Times New Roman" w:hAnsi="Times New Roman" w:cs="Times New Roman"/>
                <w:sz w:val="20"/>
                <w:szCs w:val="20"/>
              </w:rPr>
              <w:t>For only single hop stationary network-controlled repeaters</w:t>
            </w:r>
          </w:p>
          <w:p w14:paraId="5FDE7879" w14:textId="77777777" w:rsidR="00F209D2" w:rsidRPr="00F209D2" w:rsidRDefault="00F209D2" w:rsidP="00F209D2">
            <w:pPr>
              <w:numPr>
                <w:ilvl w:val="0"/>
                <w:numId w:val="27"/>
              </w:numPr>
              <w:overflowPunct w:val="0"/>
              <w:autoSpaceDE w:val="0"/>
              <w:autoSpaceDN w:val="0"/>
              <w:adjustRightInd w:val="0"/>
              <w:spacing w:beforeLines="50" w:before="120" w:afterLines="50" w:after="120" w:line="240" w:lineRule="auto"/>
              <w:textAlignment w:val="baseline"/>
              <w:rPr>
                <w:rFonts w:ascii="Times New Roman" w:hAnsi="Times New Roman" w:cs="Times New Roman"/>
                <w:sz w:val="20"/>
                <w:szCs w:val="20"/>
              </w:rPr>
            </w:pPr>
            <w:r w:rsidRPr="00F209D2">
              <w:rPr>
                <w:rFonts w:ascii="Times New Roman" w:hAnsi="Times New Roman" w:cs="Times New Roman"/>
                <w:sz w:val="20"/>
                <w:szCs w:val="20"/>
              </w:rPr>
              <w:t>The NCR is transparent to the UE.</w:t>
            </w:r>
          </w:p>
          <w:p w14:paraId="4DFFA57D" w14:textId="74C0949E" w:rsidR="00F209D2" w:rsidRPr="00F209D2" w:rsidRDefault="00F209D2" w:rsidP="00F209D2">
            <w:pPr>
              <w:numPr>
                <w:ilvl w:val="0"/>
                <w:numId w:val="27"/>
              </w:numPr>
              <w:overflowPunct w:val="0"/>
              <w:autoSpaceDE w:val="0"/>
              <w:autoSpaceDN w:val="0"/>
              <w:adjustRightInd w:val="0"/>
              <w:spacing w:beforeLines="50" w:before="120" w:afterLines="50" w:after="120" w:line="240" w:lineRule="auto"/>
              <w:textAlignment w:val="baseline"/>
            </w:pPr>
            <w:r w:rsidRPr="00F209D2">
              <w:rPr>
                <w:rFonts w:ascii="Times New Roman" w:hAnsi="Times New Roman" w:cs="Times New Roman"/>
                <w:sz w:val="20"/>
                <w:szCs w:val="20"/>
              </w:rPr>
              <w:t>Network-controlled repeater can maintain the gNB-repeater link and repeater-UE link simultaneously.</w:t>
            </w:r>
          </w:p>
        </w:tc>
      </w:tr>
    </w:tbl>
    <w:p w14:paraId="673CF00D" w14:textId="15DE086D" w:rsidR="00F209D2" w:rsidRDefault="00F209D2" w:rsidP="00307825">
      <w:pPr>
        <w:pStyle w:val="CommentText"/>
        <w:spacing w:before="240"/>
        <w:jc w:val="both"/>
      </w:pPr>
      <w:r>
        <w:t xml:space="preserve">According to the WID, both FR1 and FR2 are supported for NCR. </w:t>
      </w:r>
      <w:r w:rsidR="00386E5F">
        <w:t>T</w:t>
      </w:r>
      <w:r>
        <w:t xml:space="preserve">he </w:t>
      </w:r>
      <w:r w:rsidR="00386E5F">
        <w:t>SI, however,</w:t>
      </w:r>
      <w:r>
        <w:t xml:space="preserve"> was only focusing on FR2.</w:t>
      </w:r>
    </w:p>
    <w:p w14:paraId="3E901782" w14:textId="658AAE7B" w:rsidR="00F209D2" w:rsidRDefault="00F209D2" w:rsidP="00307825">
      <w:pPr>
        <w:pStyle w:val="CommentText"/>
        <w:jc w:val="both"/>
      </w:pPr>
      <w:r>
        <w:t>In RAN1 #110bis-e, the following agreements have been made</w:t>
      </w:r>
      <w:r w:rsidR="00307825">
        <w:t>:</w:t>
      </w:r>
    </w:p>
    <w:tbl>
      <w:tblPr>
        <w:tblStyle w:val="TableGrid"/>
        <w:tblW w:w="0" w:type="auto"/>
        <w:tblLook w:val="04A0" w:firstRow="1" w:lastRow="0" w:firstColumn="1" w:lastColumn="0" w:noHBand="0" w:noVBand="1"/>
      </w:tblPr>
      <w:tblGrid>
        <w:gridCol w:w="9629"/>
      </w:tblGrid>
      <w:tr w:rsidR="00F209D2" w14:paraId="77A95134" w14:textId="77777777" w:rsidTr="00F209D2">
        <w:tc>
          <w:tcPr>
            <w:tcW w:w="9629" w:type="dxa"/>
          </w:tcPr>
          <w:p w14:paraId="69E594D4" w14:textId="6879AF0A" w:rsidR="00F209D2" w:rsidRPr="00F209D2" w:rsidRDefault="00F209D2" w:rsidP="00F209D2">
            <w:pPr>
              <w:snapToGrid w:val="0"/>
              <w:rPr>
                <w:rFonts w:ascii="Times New Roman" w:eastAsia="DengXian" w:hAnsi="Times New Roman" w:cs="Times New Roman"/>
                <w:sz w:val="20"/>
                <w:szCs w:val="20"/>
              </w:rPr>
            </w:pPr>
            <w:r w:rsidRPr="00F209D2">
              <w:rPr>
                <w:rFonts w:ascii="Times New Roman" w:hAnsi="Times New Roman" w:cs="Times New Roman"/>
                <w:b/>
                <w:color w:val="000000"/>
                <w:sz w:val="20"/>
                <w:szCs w:val="20"/>
                <w:highlight w:val="green"/>
              </w:rPr>
              <w:t>Agreement</w:t>
            </w:r>
            <w:r>
              <w:rPr>
                <w:rFonts w:ascii="Times New Roman" w:hAnsi="Times New Roman" w:cs="Times New Roman"/>
                <w:b/>
                <w:color w:val="000000"/>
                <w:sz w:val="20"/>
                <w:szCs w:val="20"/>
              </w:rPr>
              <w:br/>
            </w:r>
            <w:r w:rsidRPr="00F209D2">
              <w:rPr>
                <w:rFonts w:ascii="Times New Roman" w:eastAsia="DengXian" w:hAnsi="Times New Roman" w:cs="Times New Roman"/>
                <w:sz w:val="20"/>
                <w:szCs w:val="20"/>
              </w:rPr>
              <w:t>The following information can be used to characterize the physical beam(s) supported by NCR-</w:t>
            </w:r>
            <w:proofErr w:type="spellStart"/>
            <w:r w:rsidRPr="00F209D2">
              <w:rPr>
                <w:rFonts w:ascii="Times New Roman" w:eastAsia="DengXian" w:hAnsi="Times New Roman" w:cs="Times New Roman"/>
                <w:sz w:val="20"/>
                <w:szCs w:val="20"/>
              </w:rPr>
              <w:t>Fwd</w:t>
            </w:r>
            <w:proofErr w:type="spellEnd"/>
            <w:r w:rsidRPr="00F209D2">
              <w:rPr>
                <w:rFonts w:ascii="Times New Roman" w:eastAsia="DengXian" w:hAnsi="Times New Roman" w:cs="Times New Roman"/>
                <w:sz w:val="20"/>
                <w:szCs w:val="20"/>
              </w:rPr>
              <w:t xml:space="preserve"> for access link: </w:t>
            </w:r>
          </w:p>
          <w:p w14:paraId="278B731E" w14:textId="77777777" w:rsidR="00F209D2" w:rsidRPr="00F209D2" w:rsidRDefault="00F209D2" w:rsidP="00F209D2">
            <w:pPr>
              <w:pStyle w:val="ListParagraph"/>
              <w:numPr>
                <w:ilvl w:val="0"/>
                <w:numId w:val="28"/>
              </w:numPr>
              <w:snapToGrid w:val="0"/>
              <w:spacing w:line="240" w:lineRule="auto"/>
              <w:rPr>
                <w:rFonts w:ascii="Times New Roman" w:eastAsia="DengXian" w:hAnsi="Times New Roman" w:cs="Times New Roman"/>
                <w:color w:val="000000"/>
                <w:sz w:val="20"/>
                <w:szCs w:val="20"/>
              </w:rPr>
            </w:pPr>
            <w:r w:rsidRPr="00F209D2">
              <w:rPr>
                <w:rFonts w:ascii="Times New Roman" w:hAnsi="Times New Roman" w:cs="Times New Roman"/>
                <w:sz w:val="20"/>
                <w:szCs w:val="20"/>
              </w:rPr>
              <w:t>Number of beams supported for access link</w:t>
            </w:r>
          </w:p>
          <w:p w14:paraId="2BCC012B" w14:textId="77777777" w:rsidR="00F209D2" w:rsidRPr="00F209D2" w:rsidRDefault="00F209D2" w:rsidP="00F209D2">
            <w:pPr>
              <w:pStyle w:val="ListParagraph"/>
              <w:numPr>
                <w:ilvl w:val="1"/>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How to define the detailed value (e.g., per beam type)</w:t>
            </w:r>
          </w:p>
          <w:p w14:paraId="4C559C19" w14:textId="77777777" w:rsidR="00F209D2" w:rsidRPr="00F209D2" w:rsidRDefault="00F209D2" w:rsidP="00F209D2">
            <w:pPr>
              <w:pStyle w:val="ListParagraph"/>
              <w:numPr>
                <w:ilvl w:val="1"/>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Whether the number of beam can be derived by beam layout</w:t>
            </w:r>
          </w:p>
          <w:p w14:paraId="0B523DE2"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Spatial relationship between different beams</w:t>
            </w:r>
          </w:p>
          <w:p w14:paraId="6D1CAF8F"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Beam types defined by the beam width (e.g. two types as wide beam and narrow beam type)</w:t>
            </w:r>
          </w:p>
          <w:p w14:paraId="00880474"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Beam direction defined by the boresight of beam</w:t>
            </w:r>
          </w:p>
          <w:p w14:paraId="7D1F8139"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Whether/How to deliver this information to gNB</w:t>
            </w:r>
          </w:p>
          <w:p w14:paraId="61DC34EE" w14:textId="77777777" w:rsidR="00F209D2" w:rsidRPr="00F209D2" w:rsidRDefault="00F209D2" w:rsidP="00AC45B4">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Coverage area for each beam type</w:t>
            </w:r>
          </w:p>
          <w:p w14:paraId="0E7B5634" w14:textId="3EB932BC" w:rsidR="00F209D2" w:rsidRPr="00F209D2" w:rsidRDefault="00F209D2" w:rsidP="00AC45B4">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FFS: Beam ID (via explicit or implicit means)</w:t>
            </w:r>
          </w:p>
          <w:p w14:paraId="5287057F" w14:textId="77777777" w:rsidR="00F209D2" w:rsidRPr="00F209D2" w:rsidRDefault="00F209D2" w:rsidP="00F209D2">
            <w:pPr>
              <w:pStyle w:val="CommentText"/>
              <w:rPr>
                <w:rFonts w:ascii="Times New Roman" w:hAnsi="Times New Roman" w:cs="Times New Roman"/>
                <w:sz w:val="20"/>
                <w:szCs w:val="20"/>
              </w:rPr>
            </w:pPr>
          </w:p>
          <w:p w14:paraId="68428295" w14:textId="6EE8E551" w:rsidR="00F209D2" w:rsidRPr="00F209D2" w:rsidRDefault="00F209D2" w:rsidP="00F209D2">
            <w:pPr>
              <w:snapToGrid w:val="0"/>
              <w:rPr>
                <w:rFonts w:ascii="Times New Roman" w:eastAsia="DengXian" w:hAnsi="Times New Roman" w:cs="Times New Roman"/>
                <w:sz w:val="20"/>
                <w:szCs w:val="20"/>
              </w:rPr>
            </w:pPr>
            <w:r w:rsidRPr="00F209D2">
              <w:rPr>
                <w:rFonts w:ascii="Times New Roman" w:hAnsi="Times New Roman" w:cs="Times New Roman"/>
                <w:b/>
                <w:sz w:val="20"/>
                <w:szCs w:val="20"/>
                <w:highlight w:val="green"/>
              </w:rPr>
              <w:t>Agreement</w:t>
            </w:r>
            <w:r>
              <w:rPr>
                <w:rFonts w:ascii="Times New Roman" w:hAnsi="Times New Roman" w:cs="Times New Roman"/>
                <w:b/>
                <w:sz w:val="20"/>
                <w:szCs w:val="20"/>
              </w:rPr>
              <w:br/>
            </w:r>
            <w:r w:rsidRPr="00F209D2">
              <w:rPr>
                <w:rFonts w:ascii="Times New Roman" w:hAnsi="Times New Roman" w:cs="Times New Roman"/>
                <w:bCs/>
                <w:iCs/>
                <w:sz w:val="20"/>
                <w:szCs w:val="20"/>
              </w:rPr>
              <w:t>The following methods are supported for access link beam indication:</w:t>
            </w:r>
          </w:p>
          <w:p w14:paraId="5A9885B7"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Single beam index per indication is supported to indicate one beam.</w:t>
            </w:r>
          </w:p>
          <w:p w14:paraId="3114C1C9" w14:textId="77777777" w:rsidR="00F209D2" w:rsidRPr="00F209D2" w:rsidRDefault="00F209D2" w:rsidP="00F209D2">
            <w:pPr>
              <w:pStyle w:val="ListParagraph"/>
              <w:numPr>
                <w:ilvl w:val="0"/>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The indication of multiple beams in one indication is supported</w:t>
            </w:r>
          </w:p>
          <w:p w14:paraId="2D2EAB81" w14:textId="77777777" w:rsidR="00F209D2" w:rsidRPr="00F209D2" w:rsidRDefault="00F209D2" w:rsidP="00F209D2">
            <w:pPr>
              <w:pStyle w:val="ListParagraph"/>
              <w:numPr>
                <w:ilvl w:val="1"/>
                <w:numId w:val="28"/>
              </w:numPr>
              <w:snapToGrid w:val="0"/>
              <w:spacing w:line="240" w:lineRule="auto"/>
              <w:rPr>
                <w:rFonts w:ascii="Times New Roman" w:hAnsi="Times New Roman" w:cs="Times New Roman"/>
                <w:sz w:val="20"/>
                <w:szCs w:val="20"/>
              </w:rPr>
            </w:pPr>
            <w:r w:rsidRPr="00F209D2">
              <w:rPr>
                <w:rFonts w:ascii="Times New Roman" w:hAnsi="Times New Roman" w:cs="Times New Roman"/>
                <w:sz w:val="20"/>
                <w:szCs w:val="20"/>
              </w:rPr>
              <w:t xml:space="preserve">Note: The multiple beams are applied in </w:t>
            </w:r>
            <w:proofErr w:type="spellStart"/>
            <w:r w:rsidRPr="00F209D2">
              <w:rPr>
                <w:rFonts w:ascii="Times New Roman" w:hAnsi="Times New Roman" w:cs="Times New Roman"/>
                <w:sz w:val="20"/>
                <w:szCs w:val="20"/>
              </w:rPr>
              <w:t>TDMed</w:t>
            </w:r>
            <w:proofErr w:type="spellEnd"/>
            <w:r w:rsidRPr="00F209D2">
              <w:rPr>
                <w:rFonts w:ascii="Times New Roman" w:hAnsi="Times New Roman" w:cs="Times New Roman"/>
                <w:sz w:val="20"/>
                <w:szCs w:val="20"/>
              </w:rPr>
              <w:t xml:space="preserve"> over same frequency resource</w:t>
            </w:r>
          </w:p>
          <w:p w14:paraId="0E736B96" w14:textId="4CC670EF" w:rsidR="00F209D2" w:rsidRPr="00F209D2" w:rsidRDefault="00F209D2" w:rsidP="00F209D2">
            <w:pPr>
              <w:snapToGrid w:val="0"/>
              <w:spacing w:line="240" w:lineRule="auto"/>
              <w:rPr>
                <w:rFonts w:ascii="Times New Roman" w:hAnsi="Times New Roman" w:cs="Times New Roman"/>
                <w:sz w:val="20"/>
                <w:szCs w:val="20"/>
              </w:rPr>
            </w:pPr>
          </w:p>
          <w:p w14:paraId="10005429" w14:textId="6EB33069" w:rsidR="00F209D2" w:rsidRPr="00F209D2" w:rsidRDefault="00F209D2" w:rsidP="00F209D2">
            <w:pPr>
              <w:snapToGrid w:val="0"/>
              <w:rPr>
                <w:rFonts w:ascii="Times New Roman" w:hAnsi="Times New Roman" w:cs="Times New Roman"/>
                <w:sz w:val="20"/>
                <w:szCs w:val="20"/>
              </w:rPr>
            </w:pPr>
            <w:r w:rsidRPr="00F209D2">
              <w:rPr>
                <w:rFonts w:ascii="Times New Roman" w:hAnsi="Times New Roman" w:cs="Times New Roman"/>
                <w:b/>
                <w:sz w:val="20"/>
                <w:szCs w:val="20"/>
                <w:highlight w:val="green"/>
              </w:rPr>
              <w:t>Agreement</w:t>
            </w:r>
            <w:r>
              <w:rPr>
                <w:rFonts w:ascii="Times New Roman" w:hAnsi="Times New Roman" w:cs="Times New Roman"/>
                <w:b/>
                <w:sz w:val="20"/>
                <w:szCs w:val="20"/>
              </w:rPr>
              <w:br/>
            </w:r>
            <w:r w:rsidRPr="00F209D2">
              <w:rPr>
                <w:rFonts w:ascii="Times New Roman" w:hAnsi="Times New Roman" w:cs="Times New Roman"/>
                <w:sz w:val="20"/>
                <w:szCs w:val="20"/>
              </w:rPr>
              <w:t>Confirm the WA that in access link, a DL beam and a UL beam which are correspondent with each other have the same beam index.</w:t>
            </w:r>
          </w:p>
        </w:tc>
      </w:tr>
    </w:tbl>
    <w:p w14:paraId="4E0CDE1F" w14:textId="5A067B29" w:rsidR="00F209D2" w:rsidRDefault="002003B5" w:rsidP="00386E5F">
      <w:pPr>
        <w:pStyle w:val="CommentText"/>
        <w:spacing w:before="240"/>
        <w:jc w:val="both"/>
      </w:pPr>
      <w:r>
        <w:t xml:space="preserve">Beams used in the access link will be indicated by the controlling gNB by a logical beam index and </w:t>
      </w:r>
      <w:r w:rsidRPr="002003B5">
        <w:t>a DL beam and a UL beam which are correspondent with each other have the same beam index</w:t>
      </w:r>
      <w:r>
        <w:t>. Supported beams for the access link will be characterized by their number and spatial relation. The applicability and indication of beams for FR1, how many beams are supported and how their characterization will be in detail</w:t>
      </w:r>
      <w:r w:rsidRPr="002003B5">
        <w:t xml:space="preserve"> </w:t>
      </w:r>
      <w:r>
        <w:t>is still under discussion</w:t>
      </w:r>
      <w:r w:rsidR="00954B8F">
        <w:t xml:space="preserve"> in RAN1</w:t>
      </w:r>
      <w:r>
        <w:t>, given the typically different nature of beams in FR1 and FR2.</w:t>
      </w:r>
    </w:p>
    <w:p w14:paraId="75A1CCF5" w14:textId="4E19A733" w:rsidR="00F209D2" w:rsidRPr="00824E11" w:rsidRDefault="00954B8F" w:rsidP="006652E8">
      <w:pPr>
        <w:pStyle w:val="Proposal"/>
        <w:rPr>
          <w:lang w:eastAsia="ja-JP"/>
        </w:rPr>
      </w:pPr>
      <w:bookmarkStart w:id="2" w:name="_Toc118728584"/>
      <w:r>
        <w:rPr>
          <w:lang w:eastAsia="ja-JP"/>
        </w:rPr>
        <w:t>Reply to RAN4 that t</w:t>
      </w:r>
      <w:r>
        <w:t xml:space="preserve">he applicability and indication of beams for FR1, how many beams are supported and how they are characterized </w:t>
      </w:r>
      <w:r w:rsidR="00D03768">
        <w:t>are</w:t>
      </w:r>
      <w:r>
        <w:t xml:space="preserve"> still under discussion in RAN1.</w:t>
      </w:r>
      <w:bookmarkEnd w:id="2"/>
    </w:p>
    <w:p w14:paraId="3879E8F8" w14:textId="1D0B2F0C" w:rsidR="00C473A5" w:rsidRDefault="00C473A5" w:rsidP="00386E5F">
      <w:pPr>
        <w:pStyle w:val="B1"/>
        <w:ind w:left="0" w:firstLine="0"/>
        <w:sectPr w:rsidR="00C473A5" w:rsidSect="00AC22FB">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9F923F3" w14:textId="08905830" w:rsidR="00D835F4"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18728583" w:history="1">
        <w:r w:rsidR="00D835F4" w:rsidRPr="00B86793">
          <w:rPr>
            <w:rStyle w:val="Hyperlink"/>
            <w:noProof/>
          </w:rPr>
          <w:t>Proposal 1</w:t>
        </w:r>
        <w:r w:rsidR="00D835F4">
          <w:rPr>
            <w:rFonts w:asciiTheme="minorHAnsi" w:eastAsiaTheme="minorEastAsia" w:hAnsiTheme="minorHAnsi"/>
            <w:b w:val="0"/>
            <w:noProof/>
            <w:sz w:val="22"/>
            <w:lang w:val="en-SE" w:eastAsia="en-SE"/>
          </w:rPr>
          <w:tab/>
        </w:r>
        <w:r w:rsidR="00D835F4" w:rsidRPr="00B86793">
          <w:rPr>
            <w:rStyle w:val="Hyperlink"/>
            <w:noProof/>
          </w:rPr>
          <w:t>Reply to RAN4 that UL transmission is generally supported. In particular, at least PUCCH, PUSCH, SRS and HARQ-ACK feedback transmissions for PDSCH are supported.</w:t>
        </w:r>
      </w:hyperlink>
    </w:p>
    <w:p w14:paraId="65E52659" w14:textId="55A344CB" w:rsidR="00D835F4" w:rsidRDefault="00D835F4">
      <w:pPr>
        <w:pStyle w:val="TableofFigures"/>
        <w:tabs>
          <w:tab w:val="right" w:leader="dot" w:pos="9629"/>
        </w:tabs>
        <w:rPr>
          <w:rFonts w:asciiTheme="minorHAnsi" w:eastAsiaTheme="minorEastAsia" w:hAnsiTheme="minorHAnsi"/>
          <w:b w:val="0"/>
          <w:noProof/>
          <w:sz w:val="22"/>
          <w:lang w:val="en-SE" w:eastAsia="en-SE"/>
        </w:rPr>
      </w:pPr>
      <w:hyperlink w:anchor="_Toc118728584" w:history="1">
        <w:r w:rsidRPr="00B86793">
          <w:rPr>
            <w:rStyle w:val="Hyperlink"/>
            <w:noProof/>
            <w:lang w:eastAsia="ja-JP"/>
          </w:rPr>
          <w:t>Proposal 2</w:t>
        </w:r>
        <w:r>
          <w:rPr>
            <w:rFonts w:asciiTheme="minorHAnsi" w:eastAsiaTheme="minorEastAsia" w:hAnsiTheme="minorHAnsi"/>
            <w:b w:val="0"/>
            <w:noProof/>
            <w:sz w:val="22"/>
            <w:lang w:val="en-SE" w:eastAsia="en-SE"/>
          </w:rPr>
          <w:tab/>
        </w:r>
        <w:r w:rsidRPr="00B86793">
          <w:rPr>
            <w:rStyle w:val="Hyperlink"/>
            <w:noProof/>
            <w:lang w:eastAsia="ja-JP"/>
          </w:rPr>
          <w:t>Reply to RAN4 that t</w:t>
        </w:r>
        <w:r w:rsidRPr="00B86793">
          <w:rPr>
            <w:rStyle w:val="Hyperlink"/>
            <w:noProof/>
          </w:rPr>
          <w:t>he applicability and indication of beams for FR1, how many beams are supported and how they are characterized are still under discussion in RAN1.</w:t>
        </w:r>
      </w:hyperlink>
    </w:p>
    <w:p w14:paraId="58ACA235" w14:textId="22FD14F4" w:rsidR="00C01F33" w:rsidRPr="00CE0424" w:rsidRDefault="006E1C82" w:rsidP="00BA78EC">
      <w:pPr>
        <w:pStyle w:val="TableofFigures"/>
        <w:tabs>
          <w:tab w:val="right" w:leader="dot" w:pos="9629"/>
        </w:tabs>
        <w:jc w:val="both"/>
      </w:pPr>
      <w:r>
        <w:rPr>
          <w:b w:val="0"/>
        </w:rPr>
        <w:fldChar w:fldCharType="end"/>
      </w:r>
    </w:p>
    <w:p w14:paraId="71D79D99" w14:textId="77777777" w:rsidR="00F507D1" w:rsidRPr="00CE0424" w:rsidRDefault="00F507D1" w:rsidP="00CE0424">
      <w:pPr>
        <w:pStyle w:val="Heading1"/>
      </w:pPr>
      <w:bookmarkStart w:id="3" w:name="_In-sequence_SDU_delivery"/>
      <w:bookmarkEnd w:id="3"/>
      <w:r w:rsidRPr="00CE0424">
        <w:t>References</w:t>
      </w:r>
    </w:p>
    <w:p w14:paraId="2CF310FC" w14:textId="55999151" w:rsidR="00A14CDD" w:rsidRDefault="00A14CDD" w:rsidP="00A14CDD">
      <w:pPr>
        <w:pStyle w:val="Reference"/>
        <w:rPr>
          <w:lang w:val="en-GB"/>
        </w:rPr>
      </w:pPr>
      <w:bookmarkStart w:id="4" w:name="_Ref118119285"/>
      <w:bookmarkStart w:id="5" w:name="_Ref174151459"/>
      <w:bookmarkStart w:id="6" w:name="_Ref189809556"/>
      <w:r w:rsidRPr="00A14CDD">
        <w:rPr>
          <w:lang w:val="en-GB"/>
        </w:rPr>
        <w:t>R1-2210818</w:t>
      </w:r>
      <w:r>
        <w:rPr>
          <w:lang w:val="en-GB"/>
        </w:rPr>
        <w:t xml:space="preserve"> </w:t>
      </w:r>
      <w:r>
        <w:t>(</w:t>
      </w:r>
      <w:r w:rsidRPr="00D436D2">
        <w:t>R4-2217506</w:t>
      </w:r>
      <w:r>
        <w:t>), “</w:t>
      </w:r>
      <w:r w:rsidRPr="00A14CDD">
        <w:rPr>
          <w:lang w:val="en-GB"/>
        </w:rPr>
        <w:t>LS to RAN1 on NCR-MT transmission and Beam correspondence</w:t>
      </w:r>
      <w:r>
        <w:t>”, RAN WG</w:t>
      </w:r>
      <w:r w:rsidR="00BA78EC">
        <w:t>4</w:t>
      </w:r>
      <w:r>
        <w:t>, RAN1 #111, Toulouse, France,</w:t>
      </w:r>
      <w:r w:rsidRPr="00A14CDD">
        <w:rPr>
          <w:lang w:val="en-GB"/>
        </w:rPr>
        <w:t xml:space="preserve"> November 2022</w:t>
      </w:r>
      <w:bookmarkEnd w:id="4"/>
      <w:r w:rsidR="00BA78EC">
        <w:rPr>
          <w:lang w:val="en-GB"/>
        </w:rPr>
        <w:t>.</w:t>
      </w:r>
    </w:p>
    <w:p w14:paraId="3E854D7A" w14:textId="794134F5" w:rsidR="00FC16D7" w:rsidRPr="000163C3" w:rsidRDefault="00FC16D7" w:rsidP="00A14CDD">
      <w:pPr>
        <w:pStyle w:val="Reference"/>
        <w:rPr>
          <w:lang w:val="en-GB"/>
        </w:rPr>
      </w:pPr>
      <w:bookmarkStart w:id="7" w:name="_Ref114583706"/>
      <w:r>
        <w:rPr>
          <w:iCs/>
        </w:rPr>
        <w:t xml:space="preserve">“RAN1 </w:t>
      </w:r>
      <w:r w:rsidRPr="00087AB3">
        <w:rPr>
          <w:rFonts w:cs="Arial"/>
        </w:rPr>
        <w:t>Chairman’s Notes”, 3GPP TSG RAN</w:t>
      </w:r>
      <w:r>
        <w:rPr>
          <w:rFonts w:cs="Arial"/>
        </w:rPr>
        <w:t xml:space="preserve"> WG</w:t>
      </w:r>
      <w:r w:rsidRPr="00087AB3">
        <w:rPr>
          <w:rFonts w:cs="Arial"/>
        </w:rPr>
        <w:t>1</w:t>
      </w:r>
      <w:r w:rsidRPr="00087AB3" w:rsidDel="003448F4">
        <w:rPr>
          <w:rFonts w:cs="Arial"/>
        </w:rPr>
        <w:t xml:space="preserve"> </w:t>
      </w:r>
      <w:r w:rsidRPr="00087AB3">
        <w:rPr>
          <w:rFonts w:cs="Arial"/>
        </w:rPr>
        <w:t>#1</w:t>
      </w:r>
      <w:r>
        <w:rPr>
          <w:rFonts w:cs="Arial"/>
        </w:rPr>
        <w:t>10bis</w:t>
      </w:r>
      <w:r w:rsidRPr="00087AB3">
        <w:rPr>
          <w:rFonts w:cs="Arial"/>
        </w:rPr>
        <w:t>-</w:t>
      </w:r>
      <w:r w:rsidRPr="004D680A">
        <w:rPr>
          <w:rFonts w:cs="Arial"/>
          <w:iCs/>
        </w:rPr>
        <w:t>e</w:t>
      </w:r>
      <w:r>
        <w:rPr>
          <w:rFonts w:cs="Arial"/>
          <w:iCs/>
        </w:rPr>
        <w:t>,</w:t>
      </w:r>
      <w:r>
        <w:rPr>
          <w:iCs/>
        </w:rPr>
        <w:t xml:space="preserve"> October</w:t>
      </w:r>
      <w:r w:rsidRPr="004A19B3">
        <w:rPr>
          <w:iCs/>
        </w:rPr>
        <w:t xml:space="preserve"> </w:t>
      </w:r>
      <w:r>
        <w:rPr>
          <w:iCs/>
        </w:rPr>
        <w:t>2022</w:t>
      </w:r>
      <w:bookmarkEnd w:id="7"/>
      <w:r w:rsidR="00BA78EC">
        <w:rPr>
          <w:iCs/>
        </w:rPr>
        <w:t>.</w:t>
      </w:r>
    </w:p>
    <w:p w14:paraId="715CA09B" w14:textId="553F5232" w:rsidR="003A7EF3" w:rsidRPr="00BA78EC" w:rsidRDefault="000163C3" w:rsidP="00BA78EC">
      <w:pPr>
        <w:pStyle w:val="Reference"/>
        <w:rPr>
          <w:lang w:val="en-GB"/>
        </w:rPr>
      </w:pPr>
      <w:bookmarkStart w:id="8" w:name="_Ref114583479"/>
      <w:r>
        <w:t>RP-222673, “</w:t>
      </w:r>
      <w:r w:rsidRPr="004A19B3">
        <w:rPr>
          <w:rStyle w:val="IvDtabletextChar"/>
          <w:rFonts w:cs="Arial"/>
          <w:iCs/>
          <w:lang w:val="en-GB"/>
        </w:rPr>
        <w:t>New WID on NR network-controlled repeaters</w:t>
      </w:r>
      <w:r>
        <w:rPr>
          <w:rStyle w:val="IvDtabletextChar"/>
          <w:rFonts w:cs="Arial"/>
          <w:iCs/>
          <w:lang w:val="en-GB"/>
        </w:rPr>
        <w:t>”</w:t>
      </w:r>
      <w:r w:rsidRPr="004A19B3">
        <w:rPr>
          <w:rStyle w:val="IvDtabletextChar"/>
          <w:rFonts w:cs="Arial"/>
          <w:iCs/>
          <w:lang w:val="en-GB"/>
        </w:rPr>
        <w:t>, 3GPP TSG RAN #97-e, September 2022</w:t>
      </w:r>
      <w:bookmarkEnd w:id="8"/>
      <w:bookmarkEnd w:id="5"/>
      <w:bookmarkEnd w:id="6"/>
      <w:r w:rsidR="00BA78EC">
        <w:rPr>
          <w:lang w:val="en-GB"/>
        </w:rPr>
        <w:t>.</w:t>
      </w:r>
    </w:p>
    <w:sectPr w:rsidR="003A7EF3" w:rsidRPr="00BA78E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F6464" w14:textId="77777777" w:rsidR="00463FA5" w:rsidRDefault="00463FA5">
      <w:r>
        <w:separator/>
      </w:r>
    </w:p>
  </w:endnote>
  <w:endnote w:type="continuationSeparator" w:id="0">
    <w:p w14:paraId="274A52CE" w14:textId="77777777" w:rsidR="00463FA5" w:rsidRDefault="00463FA5">
      <w:r>
        <w:continuationSeparator/>
      </w:r>
    </w:p>
  </w:endnote>
  <w:endnote w:type="continuationNotice" w:id="1">
    <w:p w14:paraId="5B90ABCA" w14:textId="77777777" w:rsidR="00463FA5" w:rsidRDefault="00463F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141CA" w14:textId="77777777" w:rsidR="00463FA5" w:rsidRDefault="00463FA5">
      <w:r>
        <w:separator/>
      </w:r>
    </w:p>
  </w:footnote>
  <w:footnote w:type="continuationSeparator" w:id="0">
    <w:p w14:paraId="0DB25DAA" w14:textId="77777777" w:rsidR="00463FA5" w:rsidRDefault="00463FA5">
      <w:r>
        <w:continuationSeparator/>
      </w:r>
    </w:p>
  </w:footnote>
  <w:footnote w:type="continuationNotice" w:id="1">
    <w:p w14:paraId="76C05D2C" w14:textId="77777777" w:rsidR="00463FA5" w:rsidRDefault="00463FA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C7C3178"/>
    <w:multiLevelType w:val="multilevel"/>
    <w:tmpl w:val="A7FC16D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4"/>
  </w:num>
  <w:num w:numId="17">
    <w:abstractNumId w:val="7"/>
  </w:num>
  <w:num w:numId="18">
    <w:abstractNumId w:val="9"/>
  </w:num>
  <w:num w:numId="19">
    <w:abstractNumId w:val="5"/>
  </w:num>
  <w:num w:numId="20">
    <w:abstractNumId w:val="27"/>
  </w:num>
  <w:num w:numId="21">
    <w:abstractNumId w:val="13"/>
  </w:num>
  <w:num w:numId="22">
    <w:abstractNumId w:val="26"/>
  </w:num>
  <w:num w:numId="23">
    <w:abstractNumId w:val="25"/>
  </w:num>
  <w:num w:numId="24">
    <w:abstractNumId w:val="14"/>
  </w:num>
  <w:num w:numId="25">
    <w:abstractNumId w:val="4"/>
  </w:num>
  <w:num w:numId="26">
    <w:abstractNumId w:val="8"/>
  </w:num>
  <w:num w:numId="27">
    <w:abstractNumId w:val="6"/>
  </w:num>
  <w:num w:numId="28">
    <w:abstractNumId w:val="23"/>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43E"/>
    <w:rsid w:val="00011B28"/>
    <w:rsid w:val="0001350A"/>
    <w:rsid w:val="00015D15"/>
    <w:rsid w:val="000163C3"/>
    <w:rsid w:val="000229B6"/>
    <w:rsid w:val="0002564D"/>
    <w:rsid w:val="00025ECA"/>
    <w:rsid w:val="000325B8"/>
    <w:rsid w:val="00034C15"/>
    <w:rsid w:val="00036AA4"/>
    <w:rsid w:val="00036BA1"/>
    <w:rsid w:val="00041B54"/>
    <w:rsid w:val="000422E2"/>
    <w:rsid w:val="00042F22"/>
    <w:rsid w:val="000444EF"/>
    <w:rsid w:val="00052A07"/>
    <w:rsid w:val="000534E3"/>
    <w:rsid w:val="000543C0"/>
    <w:rsid w:val="0005606A"/>
    <w:rsid w:val="00057117"/>
    <w:rsid w:val="000612F8"/>
    <w:rsid w:val="000616E7"/>
    <w:rsid w:val="0006487E"/>
    <w:rsid w:val="00065E1A"/>
    <w:rsid w:val="00077E5F"/>
    <w:rsid w:val="0008036A"/>
    <w:rsid w:val="00081AE6"/>
    <w:rsid w:val="00083527"/>
    <w:rsid w:val="000855EB"/>
    <w:rsid w:val="00085B52"/>
    <w:rsid w:val="000866F2"/>
    <w:rsid w:val="000867ED"/>
    <w:rsid w:val="0009009F"/>
    <w:rsid w:val="00091557"/>
    <w:rsid w:val="000924C1"/>
    <w:rsid w:val="000924F0"/>
    <w:rsid w:val="00093474"/>
    <w:rsid w:val="0009510F"/>
    <w:rsid w:val="000A1B7B"/>
    <w:rsid w:val="000A56F2"/>
    <w:rsid w:val="000A61B0"/>
    <w:rsid w:val="000B2719"/>
    <w:rsid w:val="000B3A8F"/>
    <w:rsid w:val="000B4AB9"/>
    <w:rsid w:val="000B58C3"/>
    <w:rsid w:val="000B61E9"/>
    <w:rsid w:val="000C165A"/>
    <w:rsid w:val="000C2E19"/>
    <w:rsid w:val="000D0D07"/>
    <w:rsid w:val="000D4797"/>
    <w:rsid w:val="000E0527"/>
    <w:rsid w:val="000E1E92"/>
    <w:rsid w:val="000E5745"/>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2F68"/>
    <w:rsid w:val="00151E23"/>
    <w:rsid w:val="001526E0"/>
    <w:rsid w:val="001551B5"/>
    <w:rsid w:val="001659C1"/>
    <w:rsid w:val="0017106D"/>
    <w:rsid w:val="00173A8E"/>
    <w:rsid w:val="0017502C"/>
    <w:rsid w:val="0018143F"/>
    <w:rsid w:val="00181FF8"/>
    <w:rsid w:val="00190AC1"/>
    <w:rsid w:val="0019341A"/>
    <w:rsid w:val="00197DF9"/>
    <w:rsid w:val="001A1987"/>
    <w:rsid w:val="001A2564"/>
    <w:rsid w:val="001A5574"/>
    <w:rsid w:val="001A6173"/>
    <w:rsid w:val="001A6CBA"/>
    <w:rsid w:val="001B0D97"/>
    <w:rsid w:val="001B5A5D"/>
    <w:rsid w:val="001C1CE5"/>
    <w:rsid w:val="001C2B99"/>
    <w:rsid w:val="001C3D2A"/>
    <w:rsid w:val="001D17A3"/>
    <w:rsid w:val="001D51BA"/>
    <w:rsid w:val="001D53E7"/>
    <w:rsid w:val="001D6342"/>
    <w:rsid w:val="001D6A1B"/>
    <w:rsid w:val="001D6D53"/>
    <w:rsid w:val="001E58E2"/>
    <w:rsid w:val="001E7AED"/>
    <w:rsid w:val="001F2B01"/>
    <w:rsid w:val="001F3916"/>
    <w:rsid w:val="001F54C5"/>
    <w:rsid w:val="001F662C"/>
    <w:rsid w:val="001F7074"/>
    <w:rsid w:val="002003B5"/>
    <w:rsid w:val="00200490"/>
    <w:rsid w:val="00201F3A"/>
    <w:rsid w:val="00203F96"/>
    <w:rsid w:val="002066B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597C"/>
    <w:rsid w:val="0023734E"/>
    <w:rsid w:val="00241559"/>
    <w:rsid w:val="002435B3"/>
    <w:rsid w:val="002458EB"/>
    <w:rsid w:val="002500C8"/>
    <w:rsid w:val="00252F0B"/>
    <w:rsid w:val="00257543"/>
    <w:rsid w:val="00260940"/>
    <w:rsid w:val="002617E7"/>
    <w:rsid w:val="00264228"/>
    <w:rsid w:val="00264334"/>
    <w:rsid w:val="0026473E"/>
    <w:rsid w:val="00266214"/>
    <w:rsid w:val="00267C83"/>
    <w:rsid w:val="0027144F"/>
    <w:rsid w:val="00271813"/>
    <w:rsid w:val="00271F3A"/>
    <w:rsid w:val="00273278"/>
    <w:rsid w:val="002737F4"/>
    <w:rsid w:val="002805F5"/>
    <w:rsid w:val="00280751"/>
    <w:rsid w:val="00282232"/>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7CAE"/>
    <w:rsid w:val="002F13E4"/>
    <w:rsid w:val="002F2771"/>
    <w:rsid w:val="002F37A9"/>
    <w:rsid w:val="00300416"/>
    <w:rsid w:val="00301CE6"/>
    <w:rsid w:val="0030256B"/>
    <w:rsid w:val="0030501F"/>
    <w:rsid w:val="00307825"/>
    <w:rsid w:val="00307BA1"/>
    <w:rsid w:val="00311702"/>
    <w:rsid w:val="00311E82"/>
    <w:rsid w:val="00312274"/>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2CD"/>
    <w:rsid w:val="00385BF0"/>
    <w:rsid w:val="00386E5F"/>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2AF"/>
    <w:rsid w:val="00401520"/>
    <w:rsid w:val="00402E2B"/>
    <w:rsid w:val="004037C4"/>
    <w:rsid w:val="0040512B"/>
    <w:rsid w:val="00405CA5"/>
    <w:rsid w:val="00407CD3"/>
    <w:rsid w:val="00410134"/>
    <w:rsid w:val="00410B72"/>
    <w:rsid w:val="00410F18"/>
    <w:rsid w:val="0041263E"/>
    <w:rsid w:val="00413AAC"/>
    <w:rsid w:val="00413D90"/>
    <w:rsid w:val="00413E92"/>
    <w:rsid w:val="00420BD6"/>
    <w:rsid w:val="00421105"/>
    <w:rsid w:val="00422AA4"/>
    <w:rsid w:val="004242F4"/>
    <w:rsid w:val="00427248"/>
    <w:rsid w:val="004364A8"/>
    <w:rsid w:val="00437447"/>
    <w:rsid w:val="00441A92"/>
    <w:rsid w:val="00441CD3"/>
    <w:rsid w:val="004431DC"/>
    <w:rsid w:val="00444F56"/>
    <w:rsid w:val="00446488"/>
    <w:rsid w:val="004517AA"/>
    <w:rsid w:val="00452CAC"/>
    <w:rsid w:val="00457565"/>
    <w:rsid w:val="00457B71"/>
    <w:rsid w:val="00463FA5"/>
    <w:rsid w:val="00464689"/>
    <w:rsid w:val="004669E2"/>
    <w:rsid w:val="00470C31"/>
    <w:rsid w:val="0047116E"/>
    <w:rsid w:val="00471629"/>
    <w:rsid w:val="00471DE0"/>
    <w:rsid w:val="004734D0"/>
    <w:rsid w:val="00474621"/>
    <w:rsid w:val="0047556B"/>
    <w:rsid w:val="00477768"/>
    <w:rsid w:val="00484281"/>
    <w:rsid w:val="00492BC5"/>
    <w:rsid w:val="004938C8"/>
    <w:rsid w:val="004964F1"/>
    <w:rsid w:val="004A16BC"/>
    <w:rsid w:val="004A2B94"/>
    <w:rsid w:val="004B6F6A"/>
    <w:rsid w:val="004B7C0C"/>
    <w:rsid w:val="004C3898"/>
    <w:rsid w:val="004D239F"/>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4E77"/>
    <w:rsid w:val="00536759"/>
    <w:rsid w:val="00537C62"/>
    <w:rsid w:val="00546970"/>
    <w:rsid w:val="00554E19"/>
    <w:rsid w:val="0056121F"/>
    <w:rsid w:val="00572505"/>
    <w:rsid w:val="00577679"/>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591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B2"/>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2C58"/>
    <w:rsid w:val="006737F2"/>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3530"/>
    <w:rsid w:val="007148D3"/>
    <w:rsid w:val="00715B9A"/>
    <w:rsid w:val="00721B32"/>
    <w:rsid w:val="007257D0"/>
    <w:rsid w:val="00726EA6"/>
    <w:rsid w:val="00727208"/>
    <w:rsid w:val="00727680"/>
    <w:rsid w:val="00727CA6"/>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E11"/>
    <w:rsid w:val="00825C42"/>
    <w:rsid w:val="00825D25"/>
    <w:rsid w:val="00827D6F"/>
    <w:rsid w:val="00830F2B"/>
    <w:rsid w:val="008376AC"/>
    <w:rsid w:val="00841994"/>
    <w:rsid w:val="008444E8"/>
    <w:rsid w:val="00844E80"/>
    <w:rsid w:val="00846FE7"/>
    <w:rsid w:val="00856911"/>
    <w:rsid w:val="008618D4"/>
    <w:rsid w:val="008677FD"/>
    <w:rsid w:val="008706D4"/>
    <w:rsid w:val="00870F8A"/>
    <w:rsid w:val="008719A4"/>
    <w:rsid w:val="00871D23"/>
    <w:rsid w:val="00874312"/>
    <w:rsid w:val="0087437C"/>
    <w:rsid w:val="00875CD7"/>
    <w:rsid w:val="00876B4D"/>
    <w:rsid w:val="00877F18"/>
    <w:rsid w:val="00891582"/>
    <w:rsid w:val="008941E3"/>
    <w:rsid w:val="00894A88"/>
    <w:rsid w:val="00895386"/>
    <w:rsid w:val="008A21FF"/>
    <w:rsid w:val="008A2CE2"/>
    <w:rsid w:val="008A30AC"/>
    <w:rsid w:val="008A44B8"/>
    <w:rsid w:val="008A51A8"/>
    <w:rsid w:val="008A54C7"/>
    <w:rsid w:val="008A77D8"/>
    <w:rsid w:val="008B0483"/>
    <w:rsid w:val="008B107C"/>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293"/>
    <w:rsid w:val="00917CE9"/>
    <w:rsid w:val="0092075B"/>
    <w:rsid w:val="00920BF2"/>
    <w:rsid w:val="00922010"/>
    <w:rsid w:val="00931BD9"/>
    <w:rsid w:val="009368F3"/>
    <w:rsid w:val="00941636"/>
    <w:rsid w:val="00943742"/>
    <w:rsid w:val="00944BE3"/>
    <w:rsid w:val="00945C05"/>
    <w:rsid w:val="00946945"/>
    <w:rsid w:val="00947713"/>
    <w:rsid w:val="0095033A"/>
    <w:rsid w:val="00950DE7"/>
    <w:rsid w:val="00953920"/>
    <w:rsid w:val="00953D47"/>
    <w:rsid w:val="00954B8F"/>
    <w:rsid w:val="0095681E"/>
    <w:rsid w:val="009572D4"/>
    <w:rsid w:val="00961921"/>
    <w:rsid w:val="0096430A"/>
    <w:rsid w:val="0096554B"/>
    <w:rsid w:val="0096584A"/>
    <w:rsid w:val="00971F08"/>
    <w:rsid w:val="0097603D"/>
    <w:rsid w:val="00976949"/>
    <w:rsid w:val="00980477"/>
    <w:rsid w:val="00985253"/>
    <w:rsid w:val="009853B3"/>
    <w:rsid w:val="00987DFE"/>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0C54"/>
    <w:rsid w:val="009E14E0"/>
    <w:rsid w:val="009E35DB"/>
    <w:rsid w:val="009E47A3"/>
    <w:rsid w:val="009F08F3"/>
    <w:rsid w:val="009F344F"/>
    <w:rsid w:val="00A031D8"/>
    <w:rsid w:val="00A048A8"/>
    <w:rsid w:val="00A04F49"/>
    <w:rsid w:val="00A13E54"/>
    <w:rsid w:val="00A14CDD"/>
    <w:rsid w:val="00A17F63"/>
    <w:rsid w:val="00A2193B"/>
    <w:rsid w:val="00A2351A"/>
    <w:rsid w:val="00A23BD8"/>
    <w:rsid w:val="00A264A9"/>
    <w:rsid w:val="00A26DCF"/>
    <w:rsid w:val="00A27785"/>
    <w:rsid w:val="00A30187"/>
    <w:rsid w:val="00A3448A"/>
    <w:rsid w:val="00A36297"/>
    <w:rsid w:val="00A41E2B"/>
    <w:rsid w:val="00A45B74"/>
    <w:rsid w:val="00A52E1D"/>
    <w:rsid w:val="00A611B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2FB"/>
    <w:rsid w:val="00AC2ECD"/>
    <w:rsid w:val="00AC3119"/>
    <w:rsid w:val="00AC45B4"/>
    <w:rsid w:val="00AC49FB"/>
    <w:rsid w:val="00AC5A10"/>
    <w:rsid w:val="00AD0AA3"/>
    <w:rsid w:val="00AD2ED0"/>
    <w:rsid w:val="00AD3F94"/>
    <w:rsid w:val="00AD4A5A"/>
    <w:rsid w:val="00AE14D4"/>
    <w:rsid w:val="00AE27AC"/>
    <w:rsid w:val="00AE40E0"/>
    <w:rsid w:val="00AE4DBA"/>
    <w:rsid w:val="00AE4F07"/>
    <w:rsid w:val="00AF1C5D"/>
    <w:rsid w:val="00AF42D7"/>
    <w:rsid w:val="00B006FE"/>
    <w:rsid w:val="00B007CB"/>
    <w:rsid w:val="00B02AA9"/>
    <w:rsid w:val="00B02FA3"/>
    <w:rsid w:val="00B05084"/>
    <w:rsid w:val="00B10F2D"/>
    <w:rsid w:val="00B157F9"/>
    <w:rsid w:val="00B20256"/>
    <w:rsid w:val="00B20D09"/>
    <w:rsid w:val="00B2757F"/>
    <w:rsid w:val="00B2763F"/>
    <w:rsid w:val="00B27AAC"/>
    <w:rsid w:val="00B30929"/>
    <w:rsid w:val="00B372AA"/>
    <w:rsid w:val="00B40445"/>
    <w:rsid w:val="00B409E0"/>
    <w:rsid w:val="00B41888"/>
    <w:rsid w:val="00B45A52"/>
    <w:rsid w:val="00B46175"/>
    <w:rsid w:val="00B548B7"/>
    <w:rsid w:val="00B664C7"/>
    <w:rsid w:val="00B713D8"/>
    <w:rsid w:val="00B739F6"/>
    <w:rsid w:val="00B81A6C"/>
    <w:rsid w:val="00B829CD"/>
    <w:rsid w:val="00B85DE5"/>
    <w:rsid w:val="00B90F73"/>
    <w:rsid w:val="00B93B59"/>
    <w:rsid w:val="00B9406A"/>
    <w:rsid w:val="00BA2280"/>
    <w:rsid w:val="00BA2A08"/>
    <w:rsid w:val="00BA56D2"/>
    <w:rsid w:val="00BA76E0"/>
    <w:rsid w:val="00BA78EC"/>
    <w:rsid w:val="00BB2A25"/>
    <w:rsid w:val="00BB51E9"/>
    <w:rsid w:val="00BB5A7C"/>
    <w:rsid w:val="00BB6392"/>
    <w:rsid w:val="00BC0FDC"/>
    <w:rsid w:val="00BC3053"/>
    <w:rsid w:val="00BC4D2E"/>
    <w:rsid w:val="00BD48AC"/>
    <w:rsid w:val="00BD5616"/>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5809"/>
    <w:rsid w:val="00C9027A"/>
    <w:rsid w:val="00C9068E"/>
    <w:rsid w:val="00C93814"/>
    <w:rsid w:val="00C93C4B"/>
    <w:rsid w:val="00C944AB"/>
    <w:rsid w:val="00C95B40"/>
    <w:rsid w:val="00CA1ED8"/>
    <w:rsid w:val="00CB118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768"/>
    <w:rsid w:val="00D10249"/>
    <w:rsid w:val="00D115C3"/>
    <w:rsid w:val="00D11897"/>
    <w:rsid w:val="00D13135"/>
    <w:rsid w:val="00D13E4E"/>
    <w:rsid w:val="00D14898"/>
    <w:rsid w:val="00D239A7"/>
    <w:rsid w:val="00D23F47"/>
    <w:rsid w:val="00D35668"/>
    <w:rsid w:val="00D36E71"/>
    <w:rsid w:val="00D37D87"/>
    <w:rsid w:val="00D40B33"/>
    <w:rsid w:val="00D4318F"/>
    <w:rsid w:val="00D436D2"/>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5F4"/>
    <w:rsid w:val="00D86CA3"/>
    <w:rsid w:val="00D871CE"/>
    <w:rsid w:val="00D9196D"/>
    <w:rsid w:val="00D92508"/>
    <w:rsid w:val="00D92982"/>
    <w:rsid w:val="00DA305E"/>
    <w:rsid w:val="00DA3453"/>
    <w:rsid w:val="00DA4334"/>
    <w:rsid w:val="00DA5417"/>
    <w:rsid w:val="00DA56E8"/>
    <w:rsid w:val="00DB0A9F"/>
    <w:rsid w:val="00DB377D"/>
    <w:rsid w:val="00DC2D36"/>
    <w:rsid w:val="00DC53EF"/>
    <w:rsid w:val="00DE5608"/>
    <w:rsid w:val="00DE58D0"/>
    <w:rsid w:val="00DE654F"/>
    <w:rsid w:val="00DF0B6E"/>
    <w:rsid w:val="00DF15E0"/>
    <w:rsid w:val="00DF1ABB"/>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1EC8"/>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0DC"/>
    <w:rsid w:val="00E917F9"/>
    <w:rsid w:val="00E9291C"/>
    <w:rsid w:val="00E93FFE"/>
    <w:rsid w:val="00E94F8A"/>
    <w:rsid w:val="00EA7A41"/>
    <w:rsid w:val="00EB077B"/>
    <w:rsid w:val="00EB24FF"/>
    <w:rsid w:val="00EB4EA2"/>
    <w:rsid w:val="00EC24D5"/>
    <w:rsid w:val="00EC27C6"/>
    <w:rsid w:val="00EC4207"/>
    <w:rsid w:val="00EC51BB"/>
    <w:rsid w:val="00EC5372"/>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9D2"/>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B6FDF"/>
    <w:rsid w:val="00FC16D7"/>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uiPriority="99"/>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C16D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tabletext">
    <w:name w:val="IvD tabletext"/>
    <w:basedOn w:val="BodyText"/>
    <w:link w:val="IvDtabletextChar"/>
    <w:qFormat/>
    <w:rsid w:val="000163C3"/>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0163C3"/>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434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F0BEB-D3F5-40C7-ADE3-8F54A95A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802</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5147</CharactersWithSpaces>
  <SharedDoc>false</SharedDoc>
  <HLinks>
    <vt:vector size="18" baseType="variant">
      <vt:variant>
        <vt:i4>1507389</vt:i4>
      </vt:variant>
      <vt:variant>
        <vt:i4>20</vt:i4>
      </vt:variant>
      <vt:variant>
        <vt:i4>0</vt:i4>
      </vt:variant>
      <vt:variant>
        <vt:i4>5</vt:i4>
      </vt:variant>
      <vt:variant>
        <vt:lpwstr/>
      </vt:variant>
      <vt:variant>
        <vt:lpwstr>_Toc118119595</vt:lpwstr>
      </vt:variant>
      <vt:variant>
        <vt:i4>1507389</vt:i4>
      </vt:variant>
      <vt:variant>
        <vt:i4>17</vt:i4>
      </vt:variant>
      <vt:variant>
        <vt:i4>0</vt:i4>
      </vt:variant>
      <vt:variant>
        <vt:i4>5</vt:i4>
      </vt:variant>
      <vt:variant>
        <vt:lpwstr/>
      </vt:variant>
      <vt:variant>
        <vt:lpwstr>_Toc118119594</vt:lpwstr>
      </vt:variant>
      <vt:variant>
        <vt:i4>1703989</vt:i4>
      </vt:variant>
      <vt:variant>
        <vt:i4>11</vt:i4>
      </vt:variant>
      <vt:variant>
        <vt:i4>0</vt:i4>
      </vt:variant>
      <vt:variant>
        <vt:i4>5</vt:i4>
      </vt:variant>
      <vt:variant>
        <vt:lpwstr/>
      </vt:variant>
      <vt:variant>
        <vt:lpwstr>_Toc112169048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2022-11-07T14:49:00Z</dcterms:created>
  <dcterms:modified xsi:type="dcterms:W3CDTF">2022-11-07T14:53:00Z</dcterms:modified>
  <cp:category/>
</cp:coreProperties>
</file>